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89"/>
        <w:pBdr/>
        <w:spacing/>
        <w:ind/>
        <w:rPr>
          <w:rFonts w:ascii="Calibri" w:hAnsi="Calibri" w:eastAsia="Calibri" w:cs="Calibri"/>
        </w:rPr>
      </w:pPr>
      <w:r>
        <w:rPr>
          <w:highlight w:val="none"/>
          <w:rtl w:val="0"/>
        </w:rPr>
        <w:t xml:space="preserve">Chairs report 22nd January 2024</w:t>
      </w:r>
      <w:r>
        <w:rPr>
          <w:rFonts w:ascii="Calibri" w:hAnsi="Calibri" w:eastAsia="Calibri" w:cs="Calibri"/>
        </w:rPr>
      </w:r>
      <w:r>
        <w:rPr>
          <w:rFonts w:ascii="Calibri" w:hAnsi="Calibri" w:eastAsia="Calibri" w:cs="Calibri"/>
        </w:rPr>
      </w:r>
    </w:p>
    <w:p>
      <w:pPr>
        <w:pStyle w:val="891"/>
        <w:pBdr/>
        <w:spacing/>
        <w:ind/>
        <w:rPr>
          <w:highlight w:val="none"/>
          <w14:ligatures w14:val="none"/>
        </w:rPr>
      </w:pPr>
      <w:r>
        <w:rPr>
          <w:rFonts w:ascii="Calibri" w:hAnsi="Calibri" w:eastAsia="Calibri" w:cs="Calibri"/>
        </w:rPr>
      </w:r>
      <w:bookmarkStart w:id="0" w:name="_vjfbhhhu0p9u"/>
      <w:r>
        <w:rPr>
          <w:rFonts w:ascii="Calibri" w:hAnsi="Calibri" w:eastAsia="Calibri" w:cs="Calibri"/>
        </w:rPr>
      </w:r>
      <w:bookmarkEnd w:id="0"/>
      <w:r>
        <w:rPr>
          <w:rStyle w:val="888"/>
          <w:rtl w:val="0"/>
        </w:rPr>
        <w:t xml:space="preserve">Introduction</w:t>
      </w:r>
      <w:r>
        <w:rPr>
          <w:highlight w:val="none"/>
          <w14:ligatures w14:val="none"/>
        </w:rPr>
      </w:r>
      <w:r>
        <w:rPr>
          <w:highlight w:val="none"/>
          <w14:ligatures w14:val="none"/>
        </w:rPr>
      </w:r>
    </w:p>
    <w:p>
      <w:pPr>
        <w:pBdr/>
        <w:spacing/>
        <w:ind/>
        <w:rPr>
          <w:highlight w:val="none"/>
        </w:rPr>
      </w:pPr>
      <w:r>
        <w:rPr>
          <w:highlight w:val="none"/>
        </w:rPr>
        <w:t xml:space="preserve">The Chair's report covers the period 1st September 2022 to 31st August 2023.</w:t>
      </w:r>
      <w:r>
        <w:rPr>
          <w:highlight w:val="none"/>
        </w:rPr>
      </w:r>
      <w:r>
        <w:rPr>
          <w:highlight w:val="none"/>
        </w:rPr>
      </w:r>
    </w:p>
    <w:p>
      <w:pPr>
        <w:pBdr/>
        <w:spacing/>
        <w:ind/>
        <w:rPr>
          <w:highlight w:val="none"/>
        </w:rPr>
      </w:pPr>
      <w:r>
        <w:rPr>
          <w:highlight w:val="none"/>
        </w:rPr>
      </w:r>
      <w:r>
        <w:rPr>
          <w:highlight w:val="none"/>
        </w:rPr>
      </w:r>
      <w:r>
        <w:rPr>
          <w:highlight w:val="none"/>
        </w:rPr>
      </w:r>
    </w:p>
    <w:p>
      <w:pPr>
        <w:pBdr/>
        <w:spacing/>
        <w:ind/>
        <w:rPr>
          <w:highlight w:val="none"/>
        </w:rPr>
      </w:pPr>
      <w:r>
        <w:rPr>
          <w:highlight w:val="none"/>
        </w:rPr>
        <w:t xml:space="preserve">T</w:t>
      </w:r>
      <w:r>
        <w:rPr>
          <w:highlight w:val="none"/>
        </w:rPr>
        <w:t xml:space="preserve">he past year has been one of growth for Open Data Manchester. Through new partnerships, expanded projects, and community-focused work, we have made real progress in pursuing our mission of using data to drive positive change. Our work continues to gain rec</w:t>
      </w:r>
      <w:r>
        <w:rPr>
          <w:highlight w:val="none"/>
        </w:rPr>
        <w:t xml:space="preserve">ognition, from being invited to high-profile events like MozFest Home, to securing new funding and opportunities. But most importantly, our projects are creating impact.</w:t>
      </w:r>
      <w:r>
        <w:rPr>
          <w:highlight w:val="none"/>
        </w:rPr>
      </w:r>
      <w:r>
        <w:rPr>
          <w:highlight w:val="none"/>
        </w:rPr>
      </w:r>
    </w:p>
    <w:p>
      <w:pPr>
        <w:pStyle w:val="891"/>
        <w:pBdr/>
        <w:spacing/>
        <w:ind/>
        <w:rPr>
          <w:highlight w:val="none"/>
        </w:rPr>
      </w:pPr>
      <w:r>
        <w:rPr>
          <w:highlight w:val="none"/>
        </w:rPr>
        <w:t xml:space="preserve">Programme</w:t>
      </w:r>
      <w:r>
        <w:rPr>
          <w:highlight w:val="none"/>
        </w:rPr>
      </w:r>
      <w:r>
        <w:rPr>
          <w:highlight w:val="none"/>
        </w:rPr>
      </w:r>
    </w:p>
    <w:p>
      <w:pPr>
        <w:pBdr/>
        <w:spacing/>
        <w:ind/>
        <w:rPr>
          <w:highlight w:val="none"/>
        </w:rPr>
      </w:pPr>
      <w:r>
        <w:rPr>
          <w:highlight w:val="none"/>
        </w:rPr>
        <w:t xml:space="preserve">Open Data Manchester started the year with the official launch of </w:t>
      </w:r>
      <w:r>
        <w:rPr>
          <w:i/>
          <w:iCs/>
          <w:highlight w:val="none"/>
        </w:rPr>
        <w:t xml:space="preserve">Right to the Streets</w:t>
      </w:r>
      <w:r>
        <w:rPr>
          <w:highlight w:val="none"/>
        </w:rPr>
        <w:t xml:space="preserve">. Funded by the Home Office and delivered in partnership with GreaterSport and Trafford Council, Right to the Streets aims to make public spaces safer for residents, with </w:t>
      </w:r>
      <w:r>
        <w:rPr>
          <w:highlight w:val="none"/>
        </w:rPr>
        <w:t xml:space="preserve">a</w:t>
      </w:r>
      <w:r>
        <w:rPr>
          <w:highlight w:val="none"/>
        </w:rPr>
        <w:t xml:space="preserve"> focus on women and girls. The launch event held at Trafford College was the first step in a year-long effort that saw Open Data Manchester conduct community-led data gathering through walkabout workshops. These allowed residents and visitors to map locati</w:t>
      </w:r>
      <w:r>
        <w:rPr>
          <w:highlight w:val="none"/>
        </w:rPr>
        <w:t xml:space="preserve">ons and routes used by women and girls, to better understand their lived experiences and inform the wider project. Our work built upon previous methodologies developed for </w:t>
      </w:r>
      <w:r>
        <w:rPr>
          <w:i/>
          <w:iCs/>
          <w:highlight w:val="none"/>
        </w:rPr>
        <w:t xml:space="preserve">Mapping Mobility</w:t>
      </w:r>
      <w:r>
        <w:rPr>
          <w:highlight w:val="none"/>
        </w:rPr>
        <w:t xml:space="preserve"> and </w:t>
      </w:r>
      <w:r>
        <w:rPr>
          <w:i/>
          <w:iCs/>
          <w:highlight w:val="none"/>
        </w:rPr>
        <w:t xml:space="preserve">Joy Diversion</w:t>
      </w:r>
      <w:r>
        <w:rPr>
          <w:highlight w:val="none"/>
        </w:rPr>
        <w:t xml:space="preserve">. Results were also used to create a </w:t>
      </w:r>
      <w:r>
        <w:rPr>
          <w:i/>
          <w:iCs/>
          <w:highlight w:val="none"/>
        </w:rPr>
        <w:t xml:space="preserve">Place Review</w:t>
      </w:r>
      <w:r>
        <w:rPr>
          <w:highlight w:val="none"/>
        </w:rPr>
        <w:t xml:space="preserve"> –</w:t>
      </w:r>
      <w:r>
        <w:rPr>
          <w:highlight w:val="none"/>
        </w:rPr>
        <w:t xml:space="preserve"> a bespoke place audit tool developed with the local community.</w:t>
      </w:r>
      <w:r>
        <w:rPr>
          <w:highlight w:val="none"/>
        </w:rPr>
      </w:r>
      <w:r>
        <w:rPr>
          <w:highlight w:val="none"/>
        </w:rPr>
      </w:r>
    </w:p>
    <w:p>
      <w:pPr>
        <w:pBdr/>
        <w:spacing/>
        <w:ind/>
        <w:rPr>
          <w:highlight w:val="none"/>
        </w:rPr>
      </w:pPr>
      <w:r>
        <w:rPr>
          <w:highlight w:val="none"/>
        </w:rPr>
      </w:r>
      <w:r>
        <w:rPr>
          <w:highlight w:val="none"/>
        </w:rPr>
      </w:r>
      <w:r>
        <w:rPr>
          <w:highlight w:val="none"/>
        </w:rPr>
      </w:r>
    </w:p>
    <w:p>
      <w:pPr>
        <w:pBdr/>
        <w:spacing/>
        <w:ind/>
        <w:rPr>
          <w:highlight w:val="none"/>
        </w:rPr>
      </w:pPr>
      <w:r>
        <w:rPr>
          <w:highlight w:val="none"/>
        </w:rPr>
        <w:t xml:space="preserve">The development of the </w:t>
      </w:r>
      <w:r>
        <w:rPr>
          <w:i/>
          <w:iCs/>
          <w:highlight w:val="none"/>
        </w:rPr>
        <w:t xml:space="preserve">Open 3P</w:t>
      </w:r>
      <w:r>
        <w:rPr>
          <w:highlight w:val="none"/>
        </w:rPr>
        <w:t xml:space="preserve"> data standard to enable the packaging supply chain to be more efficient in processes and resource use, as well as reduce packaging's environmental impact, received follow-on funding from Innovate UK through the </w:t>
      </w:r>
      <w:r>
        <w:rPr>
          <w:i/>
          <w:iCs/>
          <w:highlight w:val="none"/>
        </w:rPr>
        <w:t xml:space="preserve">Plastic Packagi</w:t>
      </w:r>
      <w:r>
        <w:rPr>
          <w:i/>
          <w:iCs/>
          <w:highlight w:val="none"/>
        </w:rPr>
        <w:t xml:space="preserve">ng Portal</w:t>
      </w:r>
      <w:r>
        <w:rPr>
          <w:highlight w:val="none"/>
        </w:rPr>
        <w:t xml:space="preserve"> project. Having successfully launched the Open 3P data standard in November 2021, Open Data Manchester and partners were awarded funding so more packaging materials could be added to the standard, a data sharing platform could be built, and a team</w:t>
      </w:r>
      <w:r>
        <w:rPr>
          <w:highlight w:val="none"/>
        </w:rPr>
        <w:t xml:space="preserve"> established to support Open 3P's adoption. Towards the end of the year our work transitioned from standard development to engaging with potential users through an ongoing series of supply chain workshops.</w:t>
      </w:r>
      <w:r>
        <w:rPr>
          <w:highlight w:val="none"/>
        </w:rPr>
      </w:r>
      <w:r>
        <w:rPr>
          <w:highlight w:val="none"/>
        </w:rPr>
      </w:r>
    </w:p>
    <w:p>
      <w:pPr>
        <w:pBdr/>
        <w:spacing/>
        <w:ind/>
        <w:rPr>
          <w:highlight w:val="none"/>
        </w:rPr>
      </w:pPr>
      <w:r>
        <w:rPr>
          <w:highlight w:val="none"/>
        </w:rPr>
      </w:r>
      <w:r>
        <w:rPr>
          <w:highlight w:val="none"/>
        </w:rPr>
      </w:r>
      <w:r>
        <w:rPr>
          <w:highlight w:val="none"/>
        </w:rPr>
      </w:r>
    </w:p>
    <w:p>
      <w:pPr>
        <w:pBdr/>
        <w:spacing/>
        <w:ind/>
        <w:rPr>
          <w:highlight w:val="none"/>
        </w:rPr>
      </w:pPr>
      <w:r>
        <w:rPr>
          <w:highlight w:val="none"/>
        </w:rPr>
        <w:t xml:space="preserve">From October 2022 to January 2023, Open Data Manchester travelled the UK, holding in-person workshops for the </w:t>
      </w:r>
      <w:r>
        <w:rPr>
          <w:i/>
          <w:iCs/>
          <w:highlight w:val="none"/>
        </w:rPr>
        <w:t xml:space="preserve">NERC Digital Solutions Hub</w:t>
      </w:r>
      <w:r>
        <w:rPr>
          <w:highlight w:val="none"/>
        </w:rPr>
        <w:t xml:space="preserve">. Engaging various stakeholders interested in earth science data across 12 cities, we gathered user insights to inform th</w:t>
      </w:r>
      <w:r>
        <w:rPr>
          <w:highlight w:val="none"/>
        </w:rPr>
        <w:t xml:space="preserve">e</w:t>
      </w:r>
      <w:r>
        <w:rPr>
          <w:highlight w:val="none"/>
        </w:rPr>
        <w:t xml:space="preserve"> Hub's development. These well-attended events generated significant interest in the project and helped deepen our relationship with the University of Manchester. When it concluded in March 2023, findings were shared at an online workshop and through a com</w:t>
      </w:r>
      <w:r>
        <w:rPr>
          <w:highlight w:val="none"/>
        </w:rPr>
        <w:t xml:space="preserve">prehensive report, which is being used to develop the hub. The work is promoted as an exemplar of good practice and a model for developing other research infrastructure by the University.</w:t>
      </w:r>
      <w:r>
        <w:rPr>
          <w:highlight w:val="none"/>
        </w:rPr>
      </w:r>
      <w:r>
        <w:rPr>
          <w:highlight w:val="none"/>
        </w:rPr>
      </w:r>
    </w:p>
    <w:p>
      <w:pPr>
        <w:pBdr/>
        <w:spacing/>
        <w:ind/>
        <w:rPr>
          <w:highlight w:val="none"/>
        </w:rPr>
      </w:pPr>
      <w:r>
        <w:rPr>
          <w:highlight w:val="none"/>
        </w:rPr>
      </w:r>
      <w:r>
        <w:rPr>
          <w:highlight w:val="none"/>
        </w:rPr>
      </w:r>
      <w:r>
        <w:rPr>
          <w:highlight w:val="none"/>
        </w:rPr>
      </w:r>
    </w:p>
    <w:p>
      <w:pPr>
        <w:pBdr/>
        <w:spacing/>
        <w:ind/>
        <w:rPr>
          <w:highlight w:val="none"/>
        </w:rPr>
      </w:pPr>
      <w:r>
        <w:rPr>
          <w:highlight w:val="none"/>
        </w:rPr>
        <w:t xml:space="preserve">B</w:t>
      </w:r>
      <w:r>
        <w:rPr>
          <w:highlight w:val="none"/>
        </w:rPr>
        <w:t xml:space="preserve">ack in Manchester, Open Data Manchester advanced its digital inclusion program with Manchester City Council. Surveying volunteers in late 2022 revealed motivations and support needs. The project continued into 2023, exploring the lived experiences of those</w:t>
      </w:r>
      <w:r>
        <w:rPr>
          <w:highlight w:val="none"/>
        </w:rPr>
        <w:t xml:space="preserve"> </w:t>
      </w:r>
      <w:r>
        <w:rPr>
          <w:highlight w:val="none"/>
        </w:rPr>
        <w:t xml:space="preserve">at risk of digital exclusion and designing a toolkit for community organisations. Despite delays, it strengthened Open Data Manchester's relationship with the council. From the development of this work, Open Data Manchester co-hosted an online event in May</w:t>
      </w:r>
      <w:r>
        <w:rPr>
          <w:highlight w:val="none"/>
        </w:rPr>
        <w:t xml:space="preserve"> called </w:t>
      </w:r>
      <w:r>
        <w:rPr>
          <w:i/>
          <w:iCs/>
          <w:highlight w:val="none"/>
        </w:rPr>
        <w:t xml:space="preserve">Reframing Digital Inclusion</w:t>
      </w:r>
      <w:r>
        <w:rPr>
          <w:highlight w:val="none"/>
        </w:rPr>
        <w:t xml:space="preserve"> with Manchester City Council for a national public and voluntary sector audience.</w:t>
      </w:r>
      <w:r>
        <w:rPr>
          <w:highlight w:val="none"/>
        </w:rPr>
      </w:r>
      <w:r>
        <w:rPr>
          <w:highlight w:val="none"/>
        </w:rPr>
      </w:r>
    </w:p>
    <w:p>
      <w:pPr>
        <w:pBdr/>
        <w:spacing/>
        <w:ind/>
        <w:rPr>
          <w:highlight w:val="none"/>
        </w:rPr>
      </w:pPr>
      <w:r>
        <w:rPr>
          <w:highlight w:val="none"/>
        </w:rPr>
      </w:r>
      <w:r>
        <w:rPr>
          <w:highlight w:val="none"/>
        </w:rPr>
      </w:r>
      <w:r>
        <w:rPr>
          <w:highlight w:val="none"/>
        </w:rPr>
      </w:r>
    </w:p>
    <w:p>
      <w:pPr>
        <w:pBdr/>
        <w:spacing/>
        <w:ind/>
        <w:rPr>
          <w:highlight w:val="none"/>
        </w:rPr>
      </w:pPr>
      <w:r>
        <w:rPr>
          <w:highlight w:val="none"/>
        </w:rPr>
        <w:t xml:space="preserve">W</w:t>
      </w:r>
      <w:r>
        <w:rPr>
          <w:highlight w:val="none"/>
        </w:rPr>
        <w:t xml:space="preserve">e see our place as a civil society organization within Greater Manchester as informing and advising local government on best practices and helping develop progressive programs of work that position Greater Manchester at the forefront of ethical and respons</w:t>
      </w:r>
      <w:r>
        <w:rPr>
          <w:highlight w:val="none"/>
        </w:rPr>
        <w:t xml:space="preserve">ible data practices. We have a position on the Greater Manchester Combined Authority’s GM Information Board (GMIB), as well as its Digital Steering Group. Over the past year, we have engaged the GMIB in re-drafting the </w:t>
      </w:r>
      <w:r>
        <w:rPr>
          <w:i/>
          <w:iCs/>
          <w:highlight w:val="none"/>
        </w:rPr>
        <w:t xml:space="preserve">Declaration for Responsible and Intell</w:t>
      </w:r>
      <w:r>
        <w:rPr>
          <w:i/>
          <w:iCs/>
          <w:highlight w:val="none"/>
        </w:rPr>
        <w:t xml:space="preserve">igent Data Practice</w:t>
      </w:r>
      <w:r>
        <w:rPr>
          <w:highlight w:val="none"/>
        </w:rPr>
        <w:t xml:space="preserve">, been given the go-ahead to develop </w:t>
      </w:r>
      <w:r>
        <w:rPr>
          <w:i/>
          <w:iCs/>
          <w:highlight w:val="none"/>
        </w:rPr>
        <w:t xml:space="preserve">Automated Decision Making Consultation Principles</w:t>
      </w:r>
      <w:r>
        <w:rPr>
          <w:highlight w:val="none"/>
        </w:rPr>
        <w:t xml:space="preserve"> - initially proposed in May 2022, and been commissioned to set priorities for the GM’s Information Strategy delivery plan. Additionally, as a member of</w:t>
      </w:r>
      <w:r>
        <w:rPr>
          <w:highlight w:val="none"/>
        </w:rPr>
        <w:t xml:space="preserve"> the steering committee of the UK Open Government Network, we have encouraged GM to become a local signatory to the Open Government Partnership.</w:t>
      </w:r>
      <w:r>
        <w:rPr>
          <w:highlight w:val="none"/>
        </w:rPr>
      </w:r>
      <w:r>
        <w:rPr>
          <w:highlight w:val="none"/>
        </w:rPr>
      </w:r>
    </w:p>
    <w:p>
      <w:pPr>
        <w:pStyle w:val="891"/>
        <w:pBdr/>
        <w:spacing/>
        <w:ind/>
        <w:rPr>
          <w:highlight w:val="none"/>
        </w:rPr>
      </w:pPr>
      <w:r>
        <w:rPr>
          <w:highlight w:val="none"/>
        </w:rPr>
        <w:t xml:space="preserve">Collaboration</w:t>
      </w:r>
      <w:r>
        <w:rPr>
          <w:highlight w:val="none"/>
        </w:rPr>
      </w:r>
      <w:r>
        <w:rPr>
          <w:highlight w:val="none"/>
        </w:rPr>
      </w:r>
    </w:p>
    <w:p>
      <w:pPr>
        <w:pBdr/>
        <w:spacing/>
        <w:ind/>
        <w:rPr>
          <w:highlight w:val="none"/>
        </w:rPr>
      </w:pPr>
      <w:r>
        <w:rPr>
          <w:highlight w:val="none"/>
        </w:rPr>
        <w:t xml:space="preserve">O</w:t>
      </w:r>
      <w:r>
        <w:rPr>
          <w:highlight w:val="none"/>
        </w:rPr>
        <w:t xml:space="preserve">ver the last year, we have continued to host and support the Data Cooperative Working Group (DCWG) and the Design Justice Network for the North of England. Through the DCWG, we have brought together academics and practitioners globally to share and discuss</w:t>
      </w:r>
      <w:r>
        <w:rPr>
          <w:highlight w:val="none"/>
        </w:rPr>
        <w:t xml:space="preserve"> knowledge regarding data cooperatives' development. This has led to The </w:t>
      </w:r>
      <w:r>
        <w:rPr>
          <w:i/>
          <w:iCs/>
          <w:highlight w:val="none"/>
        </w:rPr>
        <w:t xml:space="preserve">Data Cooperative Handbook</w:t>
      </w:r>
      <w:r>
        <w:rPr>
          <w:highlight w:val="none"/>
        </w:rPr>
        <w:t xml:space="preserve"> co-authored with Aapti Institute in Bengaluru and Data2X in Washington.</w:t>
      </w:r>
      <w:r>
        <w:rPr>
          <w:highlight w:val="none"/>
        </w:rPr>
      </w:r>
      <w:r>
        <w:rPr>
          <w:highlight w:val="none"/>
        </w:rPr>
      </w:r>
    </w:p>
    <w:p>
      <w:pPr>
        <w:pBdr/>
        <w:spacing/>
        <w:ind/>
        <w:rPr>
          <w:highlight w:val="none"/>
        </w:rPr>
      </w:pPr>
      <w:r>
        <w:rPr>
          <w:highlight w:val="none"/>
        </w:rPr>
      </w:r>
      <w:r>
        <w:rPr>
          <w:highlight w:val="none"/>
        </w:rPr>
      </w:r>
      <w:r>
        <w:rPr>
          <w:highlight w:val="none"/>
        </w:rPr>
      </w:r>
    </w:p>
    <w:p>
      <w:pPr>
        <w:pBdr/>
        <w:spacing/>
        <w:ind/>
        <w:rPr>
          <w:highlight w:val="none"/>
        </w:rPr>
      </w:pPr>
      <w:r>
        <w:rPr>
          <w:highlight w:val="none"/>
        </w:rPr>
        <w:t xml:space="preserve">Although rebuilding our in-person events has been difficult due to lack of access to physical space, we have continued our events program. In June, we held </w:t>
      </w:r>
      <w:r>
        <w:rPr>
          <w:i/>
          <w:iCs/>
          <w:highlight w:val="none"/>
        </w:rPr>
        <w:t xml:space="preserve">Data and Policy - Representation through Participation</w:t>
      </w:r>
      <w:r>
        <w:rPr>
          <w:highlight w:val="none"/>
        </w:rPr>
        <w:t xml:space="preserve"> for an international audience, with contributi</w:t>
      </w:r>
      <w:r>
        <w:rPr>
          <w:highlight w:val="none"/>
        </w:rPr>
        <w:t xml:space="preserve">ons from Sensing Local, Bengaluru, and Publica from London. In partnership, we co-hosted a workshop on ethical data with Manchester City Council and collaborated with local data meetups Her+Data MCR and PyDataMCR on the now-annual </w:t>
      </w:r>
      <w:r>
        <w:rPr>
          <w:i/>
          <w:iCs/>
          <w:highlight w:val="none"/>
        </w:rPr>
        <w:t xml:space="preserve">Community Summer Socia</w:t>
      </w:r>
      <w:r>
        <w:rPr>
          <w:highlight w:val="none"/>
        </w:rPr>
        <w:t xml:space="preserve">l an</w:t>
      </w:r>
      <w:r>
        <w:rPr>
          <w:highlight w:val="none"/>
        </w:rPr>
        <w:t xml:space="preserve">d </w:t>
      </w:r>
      <w:r>
        <w:rPr>
          <w:i/>
          <w:iCs/>
          <w:highlight w:val="none"/>
        </w:rPr>
        <w:t xml:space="preserve">Data Horror Stories</w:t>
      </w:r>
      <w:r>
        <w:rPr>
          <w:highlight w:val="none"/>
        </w:rPr>
        <w:t xml:space="preserve"> events.</w:t>
      </w:r>
      <w:r>
        <w:rPr>
          <w:highlight w:val="none"/>
        </w:rPr>
      </w:r>
      <w:r>
        <w:rPr>
          <w:highlight w:val="none"/>
        </w:rPr>
      </w:r>
    </w:p>
    <w:p>
      <w:pPr>
        <w:pStyle w:val="891"/>
        <w:pBdr/>
        <w:spacing/>
        <w:ind/>
        <w:rPr>
          <w:highlight w:val="none"/>
        </w:rPr>
      </w:pPr>
      <w:r>
        <w:rPr>
          <w:highlight w:val="none"/>
        </w:rPr>
        <w:t xml:space="preserve">Team growth</w:t>
      </w:r>
      <w:r>
        <w:rPr>
          <w:highlight w:val="none"/>
        </w:rPr>
      </w:r>
      <w:r>
        <w:rPr>
          <w:highlight w:val="none"/>
        </w:rPr>
      </w:r>
    </w:p>
    <w:p>
      <w:pPr>
        <w:pBdr/>
        <w:spacing/>
        <w:ind/>
        <w:rPr>
          <w:highlight w:val="none"/>
        </w:rPr>
      </w:pPr>
      <w:r>
        <w:rPr>
          <w:highlight w:val="none"/>
        </w:rPr>
        <w:t xml:space="preserve">Internally, Toyebat Adewale, Prisca Munzemba, and Mat Basford joined the team, effectively creating a User Research department within the organisation to support social impact projects. This was in addition to Tom Passmore, </w:t>
      </w:r>
      <w:r>
        <w:rPr>
          <w:highlight w:val="none"/>
        </w:rPr>
        <w:t xml:space="preserve">Rose Perry, and Adam Sadiq, who work on the development and adoption of </w:t>
      </w:r>
      <w:r>
        <w:rPr>
          <w:i/>
          <w:iCs/>
          <w:highlight w:val="none"/>
        </w:rPr>
        <w:t xml:space="preserve">Open 3P</w:t>
      </w:r>
      <w:r>
        <w:rPr>
          <w:highlight w:val="none"/>
        </w:rPr>
        <w:t xml:space="preserve">. We were also invited to UN panels and to attend MozFest in Amsterdam, enabling dialogue and connections. By hosting workshops, attending conferences, and promoting initiatives like Open 3P, the organisation c</w:t>
      </w:r>
      <w:r>
        <w:rPr>
          <w:highlight w:val="none"/>
        </w:rPr>
        <w:t xml:space="preserve">ontinued pursuing its mission of empowering communities through responsible data use.</w:t>
      </w:r>
      <w:r>
        <w:rPr>
          <w:highlight w:val="none"/>
        </w:rPr>
      </w:r>
      <w:r>
        <w:rPr>
          <w:highlight w:val="none"/>
        </w:rPr>
      </w:r>
    </w:p>
    <w:sectPr>
      <w:headerReference w:type="default" r:id="rId9"/>
      <w:headerReference w:type="first" r:id="rId10"/>
      <w:footerReference w:type="first" r:id="rId11"/>
      <w:footnotePr/>
      <w:endnotePr/>
      <w:type w:val="nextPage"/>
      <w:pgSz w:h="16834" w:orient="landscape" w:w="11909"/>
      <w:pgMar w:top="1440" w:right="1440" w:bottom="1440" w:left="1440" w:header="720" w:footer="720" w:gutter="0"/>
      <w:pgNumType w:start="1"/>
      <w:cols w:num="1" w:sep="0" w:space="1701"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Arial">
    <w:panose1 w:val="020B060402020202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8"/>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6"/>
      <w:pBdr/>
      <w:spacing/>
      <w:ind/>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6"/>
      <w:pBdr/>
      <w:spacing/>
      <w:ind/>
      <w:rPr/>
    </w:pPr>
    <w:r>
      <mc:AlternateContent>
        <mc:Choice Requires="wpg">
          <w:drawing>
            <wp:anchor xmlns:wp="http://schemas.openxmlformats.org/drawingml/2006/wordprocessingDrawing" xmlns:wp14="http://schemas.microsoft.com/office/word/2010/wordprocessingDrawing" distT="0" distB="0" distL="115200" distR="115200" simplePos="0" relativeHeight="2048" behindDoc="0" locked="0" layoutInCell="1" allowOverlap="1">
              <wp:simplePos x="0" y="0"/>
              <wp:positionH relativeFrom="column">
                <wp:posOffset>4230075</wp:posOffset>
              </wp:positionH>
              <wp:positionV relativeFrom="paragraph">
                <wp:posOffset>-134503</wp:posOffset>
              </wp:positionV>
              <wp:extent cx="2094525" cy="591703"/>
              <wp:effectExtent l="0" t="0" r="0" b="0"/>
              <wp:wrapTight wrapText="bothSides">
                <wp:wrapPolygon edited="1">
                  <wp:start x="0" y="0"/>
                  <wp:lineTo x="21600" y="0"/>
                  <wp:lineTo x="21600" y="21600"/>
                  <wp:lineTo x="0" y="21600"/>
                </wp:wrapPolygon>
              </wp:wrapTight>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310308" name="" hidden="0"/>
                      <pic:cNvPicPr>
                        <a:picLocks noChangeAspect="1"/>
                      </pic:cNvPicPr>
                      <pic:nvPr isPhoto="0" userDrawn="0"/>
                    </pic:nvPicPr>
                    <pic:blipFill>
                      <a:blip r:embed="rId1"/>
                      <a:stretch/>
                    </pic:blipFill>
                    <pic:spPr bwMode="auto">
                      <a:xfrm flipH="0" flipV="0">
                        <a:off x="0" y="0"/>
                        <a:ext cx="2094524" cy="591703"/>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048;o:allowoverlap:true;o:allowincell:true;mso-position-horizontal-relative:text;margin-left:333.08pt;mso-position-horizontal:absolute;mso-position-vertical-relative:text;margin-top:-10.59pt;mso-position-vertical:absolute;width:164.92pt;height:46.59pt;mso-wrap-distance-left:9.07pt;mso-wrap-distance-top:0.00pt;mso-wrap-distance-right:9.07pt;mso-wrap-distance-bottom:0.00pt;z-index:1;" wrapcoords="0 0 100000 0 100000 100000 0 100000" stroked="false">
              <w10:wrap type="tight"/>
              <v:imagedata r:id="rId1" o:title=""/>
              <o:lock v:ext="edit" rotation="t"/>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lowerLetter"/>
      <w:pPr>
        <w:pBdr/>
        <w:spacing/>
        <w:ind w:hanging="360" w:left="720"/>
      </w:pPr>
      <w:rPr>
        <w:u w:val="none"/>
      </w:rPr>
      <w:start w:val="1"/>
      <w:suff w:val="space"/>
    </w:lvl>
    <w:lvl w:ilvl="1">
      <w:isLgl w:val="false"/>
      <w:lvlJc w:val="right"/>
      <w:lvlText w:val="%2)"/>
      <w:numFmt w:val="lowerRoman"/>
      <w:pPr>
        <w:pBdr/>
        <w:spacing/>
        <w:ind w:hanging="360" w:left="1440"/>
      </w:pPr>
      <w:rPr>
        <w:u w:val="none"/>
      </w:rPr>
      <w:start w:val="1"/>
      <w:suff w:val="space"/>
    </w:lvl>
    <w:lvl w:ilvl="2">
      <w:isLgl w:val="false"/>
      <w:lvlJc w:val="left"/>
      <w:lvlText w:val="%3)"/>
      <w:numFmt w:val="decimal"/>
      <w:pPr>
        <w:pBdr/>
        <w:spacing/>
        <w:ind w:hanging="360" w:left="2160"/>
      </w:pPr>
      <w:rPr>
        <w:u w:val="none"/>
      </w:rPr>
      <w:start w:val="1"/>
      <w:suff w:val="space"/>
    </w:lvl>
    <w:lvl w:ilvl="3">
      <w:isLgl w:val="false"/>
      <w:lvlJc w:val="left"/>
      <w:lvlText w:val="(%4)"/>
      <w:numFmt w:val="lowerLetter"/>
      <w:pPr>
        <w:pBdr/>
        <w:spacing/>
        <w:ind w:hanging="360" w:left="2880"/>
      </w:pPr>
      <w:rPr>
        <w:u w:val="none"/>
      </w:rPr>
      <w:start w:val="1"/>
      <w:suff w:val="space"/>
    </w:lvl>
    <w:lvl w:ilvl="4">
      <w:isLgl w:val="false"/>
      <w:lvlJc w:val="right"/>
      <w:lvlText w:val="(%5)"/>
      <w:numFmt w:val="lowerRoman"/>
      <w:pPr>
        <w:pBdr/>
        <w:spacing/>
        <w:ind w:hanging="360" w:left="3600"/>
      </w:pPr>
      <w:rPr>
        <w:u w:val="none"/>
      </w:rPr>
      <w:start w:val="1"/>
      <w:suff w:val="space"/>
    </w:lvl>
    <w:lvl w:ilvl="5">
      <w:isLgl w:val="false"/>
      <w:lvlJc w:val="left"/>
      <w:lvlText w:val="(%6)"/>
      <w:numFmt w:val="decimal"/>
      <w:pPr>
        <w:pBdr/>
        <w:spacing/>
        <w:ind w:hanging="360" w:left="4320"/>
      </w:pPr>
      <w:rPr>
        <w:u w:val="none"/>
      </w:rPr>
      <w:start w:val="1"/>
      <w:suff w:val="space"/>
    </w:lvl>
    <w:lvl w:ilvl="6">
      <w:isLgl w:val="false"/>
      <w:lvlJc w:val="left"/>
      <w:lvlText w:val="%7."/>
      <w:numFmt w:val="lowerLetter"/>
      <w:pPr>
        <w:pBdr/>
        <w:spacing/>
        <w:ind w:hanging="360" w:left="5040"/>
      </w:pPr>
      <w:rPr>
        <w:u w:val="none"/>
      </w:rPr>
      <w:start w:val="1"/>
      <w:suff w:val="space"/>
    </w:lvl>
    <w:lvl w:ilvl="7">
      <w:isLgl w:val="false"/>
      <w:lvlJc w:val="right"/>
      <w:lvlText w:val="%8."/>
      <w:numFmt w:val="lowerRoman"/>
      <w:pPr>
        <w:pBdr/>
        <w:spacing/>
        <w:ind w:hanging="360" w:left="5760"/>
      </w:pPr>
      <w:rPr>
        <w:u w:val="none"/>
      </w:rPr>
      <w:start w:val="1"/>
      <w:suff w:val="space"/>
    </w:lvl>
    <w:lvl w:ilvl="8">
      <w:isLgl w:val="false"/>
      <w:lvlJc w:val="left"/>
      <w:lvlText w:val="%9."/>
      <w:numFmt w:val="decimal"/>
      <w:pPr>
        <w:pBdr/>
        <w:spacing/>
        <w:ind w:hanging="360" w:left="6480"/>
      </w:pPr>
      <w:rPr>
        <w:u w:val="none"/>
      </w:rPr>
      <w:start w:val="1"/>
      <w:suff w:val="space"/>
    </w:lvl>
  </w:abstractNum>
  <w:abstractNum w:abstractNumId="1">
    <w:lvl w:ilvl="0">
      <w:isLgl w:val="false"/>
      <w:lvlJc w:val="left"/>
      <w:lvlText w:val="%1)"/>
      <w:numFmt w:val="lowerLetter"/>
      <w:pPr>
        <w:pBdr/>
        <w:spacing/>
        <w:ind w:hanging="360" w:left="720"/>
      </w:pPr>
      <w:rPr>
        <w:u w:val="none"/>
      </w:rPr>
      <w:start w:val="1"/>
      <w:suff w:val="space"/>
    </w:lvl>
    <w:lvl w:ilvl="1">
      <w:isLgl w:val="false"/>
      <w:lvlJc w:val="right"/>
      <w:lvlText w:val="%2)"/>
      <w:numFmt w:val="lowerRoman"/>
      <w:pPr>
        <w:pBdr/>
        <w:spacing/>
        <w:ind w:hanging="360" w:left="1440"/>
      </w:pPr>
      <w:rPr>
        <w:u w:val="none"/>
      </w:rPr>
      <w:start w:val="1"/>
      <w:suff w:val="space"/>
    </w:lvl>
    <w:lvl w:ilvl="2">
      <w:isLgl w:val="false"/>
      <w:lvlJc w:val="left"/>
      <w:lvlText w:val="%3)"/>
      <w:numFmt w:val="decimal"/>
      <w:pPr>
        <w:pBdr/>
        <w:spacing/>
        <w:ind w:hanging="360" w:left="2160"/>
      </w:pPr>
      <w:rPr>
        <w:u w:val="none"/>
      </w:rPr>
      <w:start w:val="1"/>
      <w:suff w:val="space"/>
    </w:lvl>
    <w:lvl w:ilvl="3">
      <w:isLgl w:val="false"/>
      <w:lvlJc w:val="left"/>
      <w:lvlText w:val="(%4)"/>
      <w:numFmt w:val="lowerLetter"/>
      <w:pPr>
        <w:pBdr/>
        <w:spacing/>
        <w:ind w:hanging="360" w:left="2880"/>
      </w:pPr>
      <w:rPr>
        <w:u w:val="none"/>
      </w:rPr>
      <w:start w:val="1"/>
      <w:suff w:val="space"/>
    </w:lvl>
    <w:lvl w:ilvl="4">
      <w:isLgl w:val="false"/>
      <w:lvlJc w:val="right"/>
      <w:lvlText w:val="(%5)"/>
      <w:numFmt w:val="lowerRoman"/>
      <w:pPr>
        <w:pBdr/>
        <w:spacing/>
        <w:ind w:hanging="360" w:left="3600"/>
      </w:pPr>
      <w:rPr>
        <w:u w:val="none"/>
      </w:rPr>
      <w:start w:val="1"/>
      <w:suff w:val="space"/>
    </w:lvl>
    <w:lvl w:ilvl="5">
      <w:isLgl w:val="false"/>
      <w:lvlJc w:val="left"/>
      <w:lvlText w:val="(%6)"/>
      <w:numFmt w:val="decimal"/>
      <w:pPr>
        <w:pBdr/>
        <w:spacing/>
        <w:ind w:hanging="360" w:left="4320"/>
      </w:pPr>
      <w:rPr>
        <w:u w:val="none"/>
      </w:rPr>
      <w:start w:val="1"/>
      <w:suff w:val="space"/>
    </w:lvl>
    <w:lvl w:ilvl="6">
      <w:isLgl w:val="false"/>
      <w:lvlJc w:val="left"/>
      <w:lvlText w:val="%7."/>
      <w:numFmt w:val="lowerLetter"/>
      <w:pPr>
        <w:pBdr/>
        <w:spacing/>
        <w:ind w:hanging="360" w:left="5040"/>
      </w:pPr>
      <w:rPr>
        <w:u w:val="none"/>
      </w:rPr>
      <w:start w:val="1"/>
      <w:suff w:val="space"/>
    </w:lvl>
    <w:lvl w:ilvl="7">
      <w:isLgl w:val="false"/>
      <w:lvlJc w:val="right"/>
      <w:lvlText w:val="%8."/>
      <w:numFmt w:val="lowerRoman"/>
      <w:pPr>
        <w:pBdr/>
        <w:spacing/>
        <w:ind w:hanging="360" w:left="5760"/>
      </w:pPr>
      <w:rPr>
        <w:u w:val="none"/>
      </w:rPr>
      <w:start w:val="1"/>
      <w:suff w:val="space"/>
    </w:lvl>
    <w:lvl w:ilvl="8">
      <w:isLgl w:val="false"/>
      <w:lvlJc w:val="left"/>
      <w:lvlText w:val="%9."/>
      <w:numFmt w:val="decimal"/>
      <w:pPr>
        <w:pBdr/>
        <w:spacing/>
        <w:ind w:hanging="360" w:left="6480"/>
      </w:pPr>
      <w:rPr>
        <w:u w:val="none"/>
      </w:rPr>
      <w:start w:val="1"/>
      <w:suff w:val="space"/>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Arial" w:eastAsia="Arial" w:cs="Arial"/>
        <w:sz w:val="22"/>
        <w:szCs w:val="22"/>
      </w:rPr>
    </w:rPrDefault>
    <w:pPrDefault>
      <w:pPr>
        <w:pBdr/>
        <w:spacing w:after="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05">
    <w:name w:val="Heading 1 Char"/>
    <w:link w:val="878"/>
    <w:uiPriority w:val="9"/>
    <w:pPr>
      <w:pBdr/>
      <w:spacing/>
      <w:ind/>
    </w:pPr>
    <w:rPr>
      <w:rFonts w:ascii="Arial" w:hAnsi="Arial" w:eastAsia="Arial" w:cs="Arial"/>
      <w:sz w:val="40"/>
      <w:szCs w:val="40"/>
    </w:rPr>
  </w:style>
  <w:style w:type="character" w:styleId="706">
    <w:name w:val="Heading 2 Char"/>
    <w:link w:val="879"/>
    <w:uiPriority w:val="9"/>
    <w:pPr>
      <w:pBdr/>
      <w:spacing/>
      <w:ind/>
    </w:pPr>
    <w:rPr>
      <w:rFonts w:ascii="Arial" w:hAnsi="Arial" w:eastAsia="Arial" w:cs="Arial"/>
      <w:sz w:val="34"/>
    </w:rPr>
  </w:style>
  <w:style w:type="character" w:styleId="707">
    <w:name w:val="Heading 3 Char"/>
    <w:link w:val="880"/>
    <w:uiPriority w:val="9"/>
    <w:pPr>
      <w:pBdr/>
      <w:spacing/>
      <w:ind/>
    </w:pPr>
    <w:rPr>
      <w:rFonts w:ascii="Arial" w:hAnsi="Arial" w:eastAsia="Arial" w:cs="Arial"/>
      <w:sz w:val="30"/>
      <w:szCs w:val="30"/>
    </w:rPr>
  </w:style>
  <w:style w:type="character" w:styleId="708">
    <w:name w:val="Heading 4 Char"/>
    <w:link w:val="881"/>
    <w:uiPriority w:val="9"/>
    <w:pPr>
      <w:pBdr/>
      <w:spacing/>
      <w:ind/>
    </w:pPr>
    <w:rPr>
      <w:rFonts w:ascii="Arial" w:hAnsi="Arial" w:eastAsia="Arial" w:cs="Arial"/>
      <w:b/>
      <w:bCs/>
      <w:sz w:val="26"/>
      <w:szCs w:val="26"/>
    </w:rPr>
  </w:style>
  <w:style w:type="character" w:styleId="709">
    <w:name w:val="Heading 5 Char"/>
    <w:link w:val="882"/>
    <w:uiPriority w:val="9"/>
    <w:pPr>
      <w:pBdr/>
      <w:spacing/>
      <w:ind/>
    </w:pPr>
    <w:rPr>
      <w:rFonts w:ascii="Arial" w:hAnsi="Arial" w:eastAsia="Arial" w:cs="Arial"/>
      <w:b/>
      <w:bCs/>
      <w:sz w:val="24"/>
      <w:szCs w:val="24"/>
    </w:rPr>
  </w:style>
  <w:style w:type="character" w:styleId="710">
    <w:name w:val="Heading 6 Char"/>
    <w:link w:val="883"/>
    <w:uiPriority w:val="9"/>
    <w:pPr>
      <w:pBdr/>
      <w:spacing/>
      <w:ind/>
    </w:pPr>
    <w:rPr>
      <w:rFonts w:ascii="Arial" w:hAnsi="Arial" w:eastAsia="Arial" w:cs="Arial"/>
      <w:b/>
      <w:bCs/>
      <w:sz w:val="22"/>
      <w:szCs w:val="22"/>
    </w:rPr>
  </w:style>
  <w:style w:type="paragraph" w:styleId="711">
    <w:name w:val="Heading 7"/>
    <w:basedOn w:val="876"/>
    <w:next w:val="876"/>
    <w:link w:val="712"/>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712">
    <w:name w:val="Heading 7 Char"/>
    <w:link w:val="711"/>
    <w:uiPriority w:val="9"/>
    <w:pPr>
      <w:pBdr/>
      <w:spacing/>
      <w:ind/>
    </w:pPr>
    <w:rPr>
      <w:rFonts w:ascii="Arial" w:hAnsi="Arial" w:eastAsia="Arial" w:cs="Arial"/>
      <w:b/>
      <w:bCs/>
      <w:i/>
      <w:iCs/>
      <w:sz w:val="22"/>
      <w:szCs w:val="22"/>
    </w:rPr>
  </w:style>
  <w:style w:type="paragraph" w:styleId="713">
    <w:name w:val="Heading 8"/>
    <w:basedOn w:val="876"/>
    <w:next w:val="876"/>
    <w:link w:val="714"/>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714">
    <w:name w:val="Heading 8 Char"/>
    <w:link w:val="713"/>
    <w:uiPriority w:val="9"/>
    <w:pPr>
      <w:pBdr/>
      <w:spacing/>
      <w:ind/>
    </w:pPr>
    <w:rPr>
      <w:rFonts w:ascii="Arial" w:hAnsi="Arial" w:eastAsia="Arial" w:cs="Arial"/>
      <w:i/>
      <w:iCs/>
      <w:sz w:val="22"/>
      <w:szCs w:val="22"/>
    </w:rPr>
  </w:style>
  <w:style w:type="paragraph" w:styleId="715">
    <w:name w:val="Heading 9"/>
    <w:basedOn w:val="876"/>
    <w:next w:val="876"/>
    <w:link w:val="716"/>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716">
    <w:name w:val="Heading 9 Char"/>
    <w:link w:val="715"/>
    <w:uiPriority w:val="9"/>
    <w:pPr>
      <w:pBdr/>
      <w:spacing/>
      <w:ind/>
    </w:pPr>
    <w:rPr>
      <w:rFonts w:ascii="Arial" w:hAnsi="Arial" w:eastAsia="Arial" w:cs="Arial"/>
      <w:i/>
      <w:iCs/>
      <w:sz w:val="21"/>
      <w:szCs w:val="21"/>
    </w:rPr>
  </w:style>
  <w:style w:type="paragraph" w:styleId="717">
    <w:name w:val="List Paragraph"/>
    <w:basedOn w:val="876"/>
    <w:uiPriority w:val="34"/>
    <w:qFormat/>
    <w:pPr>
      <w:pBdr/>
      <w:spacing/>
      <w:ind w:left="720"/>
      <w:contextualSpacing w:val="true"/>
    </w:pPr>
  </w:style>
  <w:style w:type="table" w:styleId="718">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719">
    <w:name w:val="No Spacing"/>
    <w:uiPriority w:val="1"/>
    <w:qFormat/>
    <w:pPr>
      <w:pBdr/>
      <w:spacing w:after="0" w:before="0" w:line="240" w:lineRule="auto"/>
      <w:ind/>
    </w:pPr>
  </w:style>
  <w:style w:type="character" w:styleId="720">
    <w:name w:val="Title Char"/>
    <w:link w:val="884"/>
    <w:uiPriority w:val="10"/>
    <w:pPr>
      <w:pBdr/>
      <w:spacing/>
      <w:ind/>
    </w:pPr>
    <w:rPr>
      <w:sz w:val="48"/>
      <w:szCs w:val="48"/>
    </w:rPr>
  </w:style>
  <w:style w:type="character" w:styleId="721">
    <w:name w:val="Subtitle Char"/>
    <w:link w:val="885"/>
    <w:uiPriority w:val="11"/>
    <w:pPr>
      <w:pBdr/>
      <w:spacing/>
      <w:ind/>
    </w:pPr>
    <w:rPr>
      <w:sz w:val="24"/>
      <w:szCs w:val="24"/>
    </w:rPr>
  </w:style>
  <w:style w:type="paragraph" w:styleId="722">
    <w:name w:val="Quote"/>
    <w:basedOn w:val="876"/>
    <w:next w:val="876"/>
    <w:link w:val="723"/>
    <w:uiPriority w:val="29"/>
    <w:qFormat/>
    <w:pPr>
      <w:pBdr/>
      <w:spacing/>
      <w:ind w:right="720" w:left="720"/>
    </w:pPr>
    <w:rPr>
      <w:i/>
    </w:rPr>
  </w:style>
  <w:style w:type="character" w:styleId="723">
    <w:name w:val="Quote Char"/>
    <w:link w:val="722"/>
    <w:uiPriority w:val="29"/>
    <w:pPr>
      <w:pBdr/>
      <w:spacing/>
      <w:ind/>
    </w:pPr>
    <w:rPr>
      <w:i/>
    </w:rPr>
  </w:style>
  <w:style w:type="paragraph" w:styleId="724">
    <w:name w:val="Intense Quote"/>
    <w:basedOn w:val="876"/>
    <w:next w:val="876"/>
    <w:link w:val="725"/>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725">
    <w:name w:val="Intense Quote Char"/>
    <w:link w:val="724"/>
    <w:uiPriority w:val="30"/>
    <w:pPr>
      <w:pBdr/>
      <w:spacing/>
      <w:ind/>
    </w:pPr>
    <w:rPr>
      <w:i/>
    </w:rPr>
  </w:style>
  <w:style w:type="paragraph" w:styleId="726">
    <w:name w:val="Header"/>
    <w:basedOn w:val="876"/>
    <w:link w:val="727"/>
    <w:uiPriority w:val="99"/>
    <w:unhideWhenUsed/>
    <w:pPr>
      <w:pBdr/>
      <w:tabs>
        <w:tab w:val="center" w:leader="none" w:pos="7143"/>
        <w:tab w:val="right" w:leader="none" w:pos="14287"/>
      </w:tabs>
      <w:spacing w:after="0" w:line="240" w:lineRule="auto"/>
      <w:ind/>
    </w:pPr>
  </w:style>
  <w:style w:type="character" w:styleId="727">
    <w:name w:val="Header Char"/>
    <w:link w:val="726"/>
    <w:uiPriority w:val="99"/>
    <w:pPr>
      <w:pBdr/>
      <w:spacing/>
      <w:ind/>
    </w:pPr>
  </w:style>
  <w:style w:type="paragraph" w:styleId="728">
    <w:name w:val="Footer"/>
    <w:basedOn w:val="876"/>
    <w:link w:val="731"/>
    <w:uiPriority w:val="99"/>
    <w:unhideWhenUsed/>
    <w:pPr>
      <w:pBdr/>
      <w:tabs>
        <w:tab w:val="center" w:leader="none" w:pos="7143"/>
        <w:tab w:val="right" w:leader="none" w:pos="14287"/>
      </w:tabs>
      <w:spacing w:after="0" w:line="240" w:lineRule="auto"/>
      <w:ind/>
    </w:pPr>
  </w:style>
  <w:style w:type="character" w:styleId="729">
    <w:name w:val="Footer Char"/>
    <w:link w:val="728"/>
    <w:uiPriority w:val="99"/>
    <w:pPr>
      <w:pBdr/>
      <w:spacing/>
      <w:ind/>
    </w:pPr>
  </w:style>
  <w:style w:type="paragraph" w:styleId="730">
    <w:name w:val="Caption"/>
    <w:basedOn w:val="876"/>
    <w:next w:val="876"/>
    <w:uiPriority w:val="35"/>
    <w:semiHidden/>
    <w:unhideWhenUsed/>
    <w:qFormat/>
    <w:pPr>
      <w:pBdr/>
      <w:spacing w:line="276" w:lineRule="auto"/>
      <w:ind/>
    </w:pPr>
    <w:rPr>
      <w:b/>
      <w:bCs/>
      <w:color w:val="4f81bd" w:themeColor="accent1"/>
      <w:sz w:val="18"/>
      <w:szCs w:val="18"/>
    </w:rPr>
  </w:style>
  <w:style w:type="character" w:styleId="731">
    <w:name w:val="Caption Char"/>
    <w:basedOn w:val="730"/>
    <w:link w:val="728"/>
    <w:uiPriority w:val="99"/>
    <w:pPr>
      <w:pBdr/>
      <w:spacing/>
      <w:ind/>
    </w:pPr>
  </w:style>
  <w:style w:type="table" w:styleId="732">
    <w:name w:val="Table Grid"/>
    <w:basedOn w:val="718"/>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Table Grid Light"/>
    <w:basedOn w:val="71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Plain Table 1"/>
    <w:basedOn w:val="71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Plain Table 2"/>
    <w:basedOn w:val="718"/>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Plain Table 3"/>
    <w:basedOn w:val="71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Plain Table 4"/>
    <w:basedOn w:val="71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Plain Table 5"/>
    <w:basedOn w:val="71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1 Light"/>
    <w:basedOn w:val="718"/>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1 Light - Accent 1"/>
    <w:basedOn w:val="71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1 Light - Accent 2"/>
    <w:basedOn w:val="71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1 Light - Accent 3"/>
    <w:basedOn w:val="71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1 Light - Accent 4"/>
    <w:basedOn w:val="71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1 Light - Accent 5"/>
    <w:basedOn w:val="71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1 Light - Accent 6"/>
    <w:basedOn w:val="71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2"/>
    <w:basedOn w:val="71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2 - Accent 1"/>
    <w:basedOn w:val="71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2 - Accent 2"/>
    <w:basedOn w:val="71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2 - Accent 3"/>
    <w:basedOn w:val="71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2 - Accent 4"/>
    <w:basedOn w:val="71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2 - Accent 5"/>
    <w:basedOn w:val="71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2 - Accent 6"/>
    <w:basedOn w:val="71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3"/>
    <w:basedOn w:val="71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3 - Accent 1"/>
    <w:basedOn w:val="71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3 - Accent 2"/>
    <w:basedOn w:val="71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3 - Accent 3"/>
    <w:basedOn w:val="71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3 - Accent 4"/>
    <w:basedOn w:val="71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3 - Accent 5"/>
    <w:basedOn w:val="71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3 - Accent 6"/>
    <w:basedOn w:val="71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4"/>
    <w:basedOn w:val="718"/>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4 - Accent 1"/>
    <w:basedOn w:val="718"/>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4 - Accent 2"/>
    <w:basedOn w:val="718"/>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4 - Accent 3"/>
    <w:basedOn w:val="718"/>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4 - Accent 4"/>
    <w:basedOn w:val="718"/>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4 - Accent 5"/>
    <w:basedOn w:val="718"/>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4 - Accent 6"/>
    <w:basedOn w:val="718"/>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5 Dark"/>
    <w:basedOn w:val="7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5 Dark- Accent 1"/>
    <w:basedOn w:val="7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5 Dark - Accent 2"/>
    <w:basedOn w:val="7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5 Dark - Accent 3"/>
    <w:basedOn w:val="7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5 Dark- Accent 4"/>
    <w:basedOn w:val="7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5 Dark - Accent 5"/>
    <w:basedOn w:val="7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5 Dark - Accent 6"/>
    <w:basedOn w:val="7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6 Colorful"/>
    <w:basedOn w:val="718"/>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75">
    <w:name w:val="Grid Table 6 Colorful - Accent 1"/>
    <w:basedOn w:val="718"/>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76">
    <w:name w:val="Grid Table 6 Colorful - Accent 2"/>
    <w:basedOn w:val="71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77">
    <w:name w:val="Grid Table 6 Colorful - Accent 3"/>
    <w:basedOn w:val="718"/>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78">
    <w:name w:val="Grid Table 6 Colorful - Accent 4"/>
    <w:basedOn w:val="71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79">
    <w:name w:val="Grid Table 6 Colorful - Accent 5"/>
    <w:basedOn w:val="718"/>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80">
    <w:name w:val="Grid Table 6 Colorful - Accent 6"/>
    <w:basedOn w:val="718"/>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81">
    <w:name w:val="Grid Table 7 Colorful"/>
    <w:basedOn w:val="718"/>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Grid Table 7 Colorful - Accent 1"/>
    <w:basedOn w:val="718"/>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7 Colorful - Accent 2"/>
    <w:basedOn w:val="718"/>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7 Colorful - Accent 3"/>
    <w:basedOn w:val="718"/>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7 Colorful - Accent 4"/>
    <w:basedOn w:val="718"/>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7 Colorful - Accent 5"/>
    <w:basedOn w:val="718"/>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7 Colorful - Accent 6"/>
    <w:basedOn w:val="718"/>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1 Light"/>
    <w:basedOn w:val="7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1 Light - Accent 1"/>
    <w:basedOn w:val="7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1 Light - Accent 2"/>
    <w:basedOn w:val="7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1 Light - Accent 3"/>
    <w:basedOn w:val="7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1 Light - Accent 4"/>
    <w:basedOn w:val="7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1 Light - Accent 5"/>
    <w:basedOn w:val="7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1 Light - Accent 6"/>
    <w:basedOn w:val="7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2"/>
    <w:basedOn w:val="718"/>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2 - Accent 1"/>
    <w:basedOn w:val="718"/>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2 - Accent 2"/>
    <w:basedOn w:val="718"/>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2 - Accent 3"/>
    <w:basedOn w:val="718"/>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2 - Accent 4"/>
    <w:basedOn w:val="718"/>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2 - Accent 5"/>
    <w:basedOn w:val="718"/>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2 - Accent 6"/>
    <w:basedOn w:val="718"/>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3"/>
    <w:basedOn w:val="71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3 - Accent 1"/>
    <w:basedOn w:val="718"/>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3 - Accent 2"/>
    <w:basedOn w:val="71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3 - Accent 3"/>
    <w:basedOn w:val="718"/>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st Table 3 - Accent 4"/>
    <w:basedOn w:val="71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3 - Accent 5"/>
    <w:basedOn w:val="718"/>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3 - Accent 6"/>
    <w:basedOn w:val="718"/>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4"/>
    <w:basedOn w:val="71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4 - Accent 1"/>
    <w:basedOn w:val="718"/>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4 - Accent 2"/>
    <w:basedOn w:val="718"/>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4 - Accent 3"/>
    <w:basedOn w:val="718"/>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4 - Accent 4"/>
    <w:basedOn w:val="718"/>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4 - Accent 5"/>
    <w:basedOn w:val="718"/>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4 - Accent 6"/>
    <w:basedOn w:val="718"/>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5 Dark"/>
    <w:basedOn w:val="718"/>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7">
    <w:name w:val="List Table 5 Dark - Accent 1"/>
    <w:basedOn w:val="718"/>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8">
    <w:name w:val="List Table 5 Dark - Accent 2"/>
    <w:basedOn w:val="718"/>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9">
    <w:name w:val="List Table 5 Dark - Accent 3"/>
    <w:basedOn w:val="718"/>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0">
    <w:name w:val="List Table 5 Dark - Accent 4"/>
    <w:basedOn w:val="718"/>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1">
    <w:name w:val="List Table 5 Dark - Accent 5"/>
    <w:basedOn w:val="718"/>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2">
    <w:name w:val="List Table 5 Dark - Accent 6"/>
    <w:basedOn w:val="718"/>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3">
    <w:name w:val="List Table 6 Colorful"/>
    <w:basedOn w:val="718"/>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st Table 6 Colorful - Accent 1"/>
    <w:basedOn w:val="718"/>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st Table 6 Colorful - Accent 2"/>
    <w:basedOn w:val="718"/>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st Table 6 Colorful - Accent 3"/>
    <w:basedOn w:val="718"/>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st Table 6 Colorful - Accent 4"/>
    <w:basedOn w:val="718"/>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st Table 6 Colorful - Accent 5"/>
    <w:basedOn w:val="718"/>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st Table 6 Colorful - Accent 6"/>
    <w:basedOn w:val="718"/>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st Table 7 Colorful"/>
    <w:basedOn w:val="718"/>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31">
    <w:name w:val="List Table 7 Colorful - Accent 1"/>
    <w:basedOn w:val="718"/>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832">
    <w:name w:val="List Table 7 Colorful - Accent 2"/>
    <w:basedOn w:val="718"/>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833">
    <w:name w:val="List Table 7 Colorful - Accent 3"/>
    <w:basedOn w:val="718"/>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834">
    <w:name w:val="List Table 7 Colorful - Accent 4"/>
    <w:basedOn w:val="718"/>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835">
    <w:name w:val="List Table 7 Colorful - Accent 5"/>
    <w:basedOn w:val="718"/>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836">
    <w:name w:val="List Table 7 Colorful - Accent 6"/>
    <w:basedOn w:val="718"/>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837">
    <w:name w:val="Lined - Accent"/>
    <w:basedOn w:val="7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Lined - Accent 1"/>
    <w:basedOn w:val="7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Lined - Accent 2"/>
    <w:basedOn w:val="7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Lined - Accent 3"/>
    <w:basedOn w:val="7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Lined - Accent 4"/>
    <w:basedOn w:val="7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Lined - Accent 5"/>
    <w:basedOn w:val="7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Lined - Accent 6"/>
    <w:basedOn w:val="7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Bordered &amp; Lined - Accent"/>
    <w:basedOn w:val="718"/>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Bordered &amp; Lined - Accent 1"/>
    <w:basedOn w:val="718"/>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Bordered &amp; Lined - Accent 2"/>
    <w:basedOn w:val="718"/>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Bordered &amp; Lined - Accent 3"/>
    <w:basedOn w:val="718"/>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Bordered &amp; Lined - Accent 4"/>
    <w:basedOn w:val="718"/>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Bordered &amp; Lined - Accent 5"/>
    <w:basedOn w:val="718"/>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Bordered &amp; Lined - Accent 6"/>
    <w:basedOn w:val="718"/>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Bordered"/>
    <w:basedOn w:val="718"/>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Bordered - Accent 1"/>
    <w:basedOn w:val="71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Bordered - Accent 2"/>
    <w:basedOn w:val="71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Bordered - Accent 3"/>
    <w:basedOn w:val="71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Bordered - Accent 4"/>
    <w:basedOn w:val="71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Bordered - Accent 5"/>
    <w:basedOn w:val="71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Bordered - Accent 6"/>
    <w:basedOn w:val="71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58">
    <w:name w:val="Hyperlink"/>
    <w:uiPriority w:val="99"/>
    <w:unhideWhenUsed/>
    <w:pPr>
      <w:pBdr/>
      <w:spacing/>
      <w:ind/>
    </w:pPr>
    <w:rPr>
      <w:color w:val="0000ff" w:themeColor="hyperlink"/>
      <w:u w:val="single"/>
    </w:rPr>
  </w:style>
  <w:style w:type="paragraph" w:styleId="859">
    <w:name w:val="footnote text"/>
    <w:basedOn w:val="876"/>
    <w:link w:val="860"/>
    <w:uiPriority w:val="99"/>
    <w:semiHidden/>
    <w:unhideWhenUsed/>
    <w:pPr>
      <w:pBdr/>
      <w:spacing w:after="40" w:line="240" w:lineRule="auto"/>
      <w:ind/>
    </w:pPr>
    <w:rPr>
      <w:sz w:val="18"/>
    </w:rPr>
  </w:style>
  <w:style w:type="character" w:styleId="860">
    <w:name w:val="Footnote Text Char"/>
    <w:link w:val="859"/>
    <w:uiPriority w:val="99"/>
    <w:pPr>
      <w:pBdr/>
      <w:spacing/>
      <w:ind/>
    </w:pPr>
    <w:rPr>
      <w:sz w:val="18"/>
    </w:rPr>
  </w:style>
  <w:style w:type="character" w:styleId="861">
    <w:name w:val="footnote reference"/>
    <w:uiPriority w:val="99"/>
    <w:unhideWhenUsed/>
    <w:pPr>
      <w:pBdr/>
      <w:spacing/>
      <w:ind/>
    </w:pPr>
    <w:rPr>
      <w:vertAlign w:val="superscript"/>
    </w:rPr>
  </w:style>
  <w:style w:type="paragraph" w:styleId="862">
    <w:name w:val="endnote text"/>
    <w:basedOn w:val="876"/>
    <w:link w:val="863"/>
    <w:uiPriority w:val="99"/>
    <w:semiHidden/>
    <w:unhideWhenUsed/>
    <w:pPr>
      <w:pBdr/>
      <w:spacing w:after="0" w:line="240" w:lineRule="auto"/>
      <w:ind/>
    </w:pPr>
    <w:rPr>
      <w:sz w:val="20"/>
    </w:rPr>
  </w:style>
  <w:style w:type="character" w:styleId="863">
    <w:name w:val="Endnote Text Char"/>
    <w:link w:val="862"/>
    <w:uiPriority w:val="99"/>
    <w:pPr>
      <w:pBdr/>
      <w:spacing/>
      <w:ind/>
    </w:pPr>
    <w:rPr>
      <w:sz w:val="20"/>
    </w:rPr>
  </w:style>
  <w:style w:type="character" w:styleId="864">
    <w:name w:val="endnote reference"/>
    <w:uiPriority w:val="99"/>
    <w:semiHidden/>
    <w:unhideWhenUsed/>
    <w:pPr>
      <w:pBdr/>
      <w:spacing/>
      <w:ind/>
    </w:pPr>
    <w:rPr>
      <w:vertAlign w:val="superscript"/>
    </w:rPr>
  </w:style>
  <w:style w:type="paragraph" w:styleId="865">
    <w:name w:val="toc 1"/>
    <w:basedOn w:val="876"/>
    <w:next w:val="876"/>
    <w:uiPriority w:val="39"/>
    <w:unhideWhenUsed/>
    <w:pPr>
      <w:pBdr/>
      <w:spacing w:after="57"/>
      <w:ind w:right="0" w:firstLine="0" w:left="0"/>
    </w:pPr>
  </w:style>
  <w:style w:type="paragraph" w:styleId="866">
    <w:name w:val="toc 2"/>
    <w:basedOn w:val="876"/>
    <w:next w:val="876"/>
    <w:uiPriority w:val="39"/>
    <w:unhideWhenUsed/>
    <w:pPr>
      <w:pBdr/>
      <w:spacing w:after="57"/>
      <w:ind w:right="0" w:firstLine="0" w:left="283"/>
    </w:pPr>
  </w:style>
  <w:style w:type="paragraph" w:styleId="867">
    <w:name w:val="toc 3"/>
    <w:basedOn w:val="876"/>
    <w:next w:val="876"/>
    <w:uiPriority w:val="39"/>
    <w:unhideWhenUsed/>
    <w:pPr>
      <w:pBdr/>
      <w:spacing w:after="57"/>
      <w:ind w:right="0" w:firstLine="0" w:left="567"/>
    </w:pPr>
  </w:style>
  <w:style w:type="paragraph" w:styleId="868">
    <w:name w:val="toc 4"/>
    <w:basedOn w:val="876"/>
    <w:next w:val="876"/>
    <w:uiPriority w:val="39"/>
    <w:unhideWhenUsed/>
    <w:pPr>
      <w:pBdr/>
      <w:spacing w:after="57"/>
      <w:ind w:right="0" w:firstLine="0" w:left="850"/>
    </w:pPr>
  </w:style>
  <w:style w:type="paragraph" w:styleId="869">
    <w:name w:val="toc 5"/>
    <w:basedOn w:val="876"/>
    <w:next w:val="876"/>
    <w:uiPriority w:val="39"/>
    <w:unhideWhenUsed/>
    <w:pPr>
      <w:pBdr/>
      <w:spacing w:after="57"/>
      <w:ind w:right="0" w:firstLine="0" w:left="1134"/>
    </w:pPr>
  </w:style>
  <w:style w:type="paragraph" w:styleId="870">
    <w:name w:val="toc 6"/>
    <w:basedOn w:val="876"/>
    <w:next w:val="876"/>
    <w:uiPriority w:val="39"/>
    <w:unhideWhenUsed/>
    <w:pPr>
      <w:pBdr/>
      <w:spacing w:after="57"/>
      <w:ind w:right="0" w:firstLine="0" w:left="1417"/>
    </w:pPr>
  </w:style>
  <w:style w:type="paragraph" w:styleId="871">
    <w:name w:val="toc 7"/>
    <w:basedOn w:val="876"/>
    <w:next w:val="876"/>
    <w:uiPriority w:val="39"/>
    <w:unhideWhenUsed/>
    <w:pPr>
      <w:pBdr/>
      <w:spacing w:after="57"/>
      <w:ind w:right="0" w:firstLine="0" w:left="1701"/>
    </w:pPr>
  </w:style>
  <w:style w:type="paragraph" w:styleId="872">
    <w:name w:val="toc 8"/>
    <w:basedOn w:val="876"/>
    <w:next w:val="876"/>
    <w:uiPriority w:val="39"/>
    <w:unhideWhenUsed/>
    <w:pPr>
      <w:pBdr/>
      <w:spacing w:after="57"/>
      <w:ind w:right="0" w:firstLine="0" w:left="1984"/>
    </w:pPr>
  </w:style>
  <w:style w:type="paragraph" w:styleId="873">
    <w:name w:val="toc 9"/>
    <w:basedOn w:val="876"/>
    <w:next w:val="876"/>
    <w:uiPriority w:val="39"/>
    <w:unhideWhenUsed/>
    <w:pPr>
      <w:pBdr/>
      <w:spacing w:after="57"/>
      <w:ind w:right="0" w:firstLine="0" w:left="2268"/>
    </w:pPr>
  </w:style>
  <w:style w:type="paragraph" w:styleId="874">
    <w:name w:val="TOC Heading"/>
    <w:uiPriority w:val="39"/>
    <w:unhideWhenUsed/>
    <w:pPr>
      <w:pBdr/>
      <w:spacing/>
      <w:ind/>
    </w:pPr>
  </w:style>
  <w:style w:type="paragraph" w:styleId="875">
    <w:name w:val="table of figures"/>
    <w:basedOn w:val="876"/>
    <w:next w:val="876"/>
    <w:uiPriority w:val="99"/>
    <w:unhideWhenUsed/>
    <w:pPr>
      <w:pBdr/>
      <w:spacing w:after="0" w:afterAutospacing="0"/>
      <w:ind/>
    </w:pPr>
  </w:style>
  <w:style w:type="paragraph" w:styleId="876" w:default="1">
    <w:name w:val="Normal"/>
    <w:pPr>
      <w:pBdr/>
      <w:spacing/>
      <w:ind/>
    </w:pPr>
  </w:style>
  <w:style w:type="table" w:styleId="877" w:default="1">
    <w:name w:val="Table Normal"/>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78">
    <w:name w:val="Heading 1"/>
    <w:basedOn w:val="876"/>
    <w:next w:val="876"/>
    <w:pPr>
      <w:keepNext w:val="true"/>
      <w:keepLines w:val="true"/>
      <w:pageBreakBefore w:val="false"/>
      <w:pBdr/>
      <w:spacing w:after="120" w:before="400"/>
      <w:ind/>
    </w:pPr>
    <w:rPr>
      <w:rFonts w:ascii="Calibri" w:hAnsi="Calibri" w:eastAsia="Calibri" w:cs="Calibri"/>
      <w:sz w:val="40"/>
      <w:szCs w:val="40"/>
      <w:rtl w:val="0"/>
    </w:rPr>
  </w:style>
  <w:style w:type="paragraph" w:styleId="879">
    <w:name w:val="Heading 2"/>
    <w:basedOn w:val="876"/>
    <w:next w:val="876"/>
    <w:pPr>
      <w:keepNext w:val="true"/>
      <w:keepLines w:val="true"/>
      <w:pageBreakBefore w:val="false"/>
      <w:pBdr/>
      <w:spacing w:after="120" w:before="360"/>
      <w:ind/>
    </w:pPr>
    <w:rPr>
      <w:b w:val="0"/>
      <w:sz w:val="32"/>
      <w:szCs w:val="32"/>
    </w:rPr>
  </w:style>
  <w:style w:type="paragraph" w:styleId="880">
    <w:name w:val="Heading 3"/>
    <w:basedOn w:val="878"/>
    <w:next w:val="876"/>
    <w:pPr>
      <w:pBdr/>
      <w:spacing/>
      <w:ind/>
    </w:pPr>
    <w:rPr>
      <w:rFonts w:ascii="Calibri" w:hAnsi="Calibri" w:eastAsia="Calibri" w:cs="Calibri"/>
      <w:sz w:val="30"/>
      <w:rtl w:val="0"/>
    </w:rPr>
  </w:style>
  <w:style w:type="paragraph" w:styleId="881">
    <w:name w:val="Heading 4"/>
    <w:basedOn w:val="876"/>
    <w:next w:val="876"/>
    <w:pPr>
      <w:keepNext w:val="true"/>
      <w:keepLines w:val="true"/>
      <w:pageBreakBefore w:val="false"/>
      <w:pBdr/>
      <w:spacing w:after="80" w:before="280"/>
      <w:ind/>
    </w:pPr>
    <w:rPr>
      <w:color w:val="666666"/>
      <w:sz w:val="24"/>
      <w:szCs w:val="24"/>
    </w:rPr>
  </w:style>
  <w:style w:type="paragraph" w:styleId="882">
    <w:name w:val="Heading 5"/>
    <w:basedOn w:val="876"/>
    <w:next w:val="876"/>
    <w:pPr>
      <w:keepNext w:val="true"/>
      <w:keepLines w:val="true"/>
      <w:pageBreakBefore w:val="false"/>
      <w:pBdr/>
      <w:spacing w:after="80" w:before="240"/>
      <w:ind/>
    </w:pPr>
    <w:rPr>
      <w:color w:val="666666"/>
      <w:sz w:val="22"/>
      <w:szCs w:val="22"/>
    </w:rPr>
  </w:style>
  <w:style w:type="paragraph" w:styleId="883">
    <w:name w:val="Heading 6"/>
    <w:basedOn w:val="876"/>
    <w:next w:val="876"/>
    <w:pPr>
      <w:keepNext w:val="true"/>
      <w:keepLines w:val="true"/>
      <w:pageBreakBefore w:val="false"/>
      <w:pBdr/>
      <w:spacing w:after="80" w:before="240"/>
      <w:ind/>
    </w:pPr>
    <w:rPr>
      <w:i/>
      <w:color w:val="666666"/>
      <w:sz w:val="22"/>
      <w:szCs w:val="22"/>
    </w:rPr>
  </w:style>
  <w:style w:type="paragraph" w:styleId="884">
    <w:name w:val="Title"/>
    <w:basedOn w:val="876"/>
    <w:next w:val="876"/>
    <w:pPr>
      <w:keepNext w:val="true"/>
      <w:keepLines w:val="true"/>
      <w:pageBreakBefore w:val="false"/>
      <w:pBdr/>
      <w:spacing w:after="60" w:before="0"/>
      <w:ind/>
    </w:pPr>
    <w:rPr>
      <w:sz w:val="52"/>
      <w:szCs w:val="52"/>
    </w:rPr>
  </w:style>
  <w:style w:type="paragraph" w:styleId="885">
    <w:name w:val="Subtitle"/>
    <w:basedOn w:val="876"/>
    <w:next w:val="876"/>
    <w:pPr>
      <w:keepNext w:val="true"/>
      <w:keepLines w:val="true"/>
      <w:pageBreakBefore w:val="false"/>
      <w:pBdr/>
      <w:spacing w:after="320" w:before="0"/>
      <w:ind/>
    </w:pPr>
    <w:rPr>
      <w:rFonts w:ascii="Arial" w:hAnsi="Arial" w:eastAsia="Arial" w:cs="Arial"/>
      <w:i w:val="0"/>
      <w:color w:val="666666"/>
      <w:sz w:val="30"/>
      <w:szCs w:val="30"/>
    </w:rPr>
  </w:style>
  <w:style w:type="character" w:styleId="886" w:default="1">
    <w:name w:val="Default Paragraph Font"/>
    <w:uiPriority w:val="1"/>
    <w:semiHidden/>
    <w:unhideWhenUsed/>
    <w:pPr>
      <w:pBdr/>
      <w:spacing/>
      <w:ind/>
    </w:pPr>
  </w:style>
  <w:style w:type="numbering" w:styleId="887" w:default="1">
    <w:name w:val="No List"/>
    <w:uiPriority w:val="99"/>
    <w:semiHidden/>
    <w:unhideWhenUsed/>
    <w:pPr>
      <w:pBdr/>
      <w:spacing/>
      <w:ind/>
    </w:pPr>
  </w:style>
  <w:style w:type="character" w:styleId="888" w:customStyle="1">
    <w:name w:val="Header 1_character"/>
    <w:link w:val="889"/>
    <w:pPr>
      <w:pBdr/>
      <w:spacing/>
      <w:ind/>
    </w:pPr>
    <w:rPr>
      <w:rtl w:val="0"/>
    </w:rPr>
  </w:style>
  <w:style w:type="paragraph" w:styleId="889" w:customStyle="1">
    <w:name w:val="Header 1"/>
    <w:basedOn w:val="878"/>
    <w:link w:val="888"/>
    <w:qFormat/>
    <w:pPr>
      <w:pBdr/>
      <w:spacing/>
      <w:ind/>
    </w:pPr>
    <w:rPr>
      <w:rtl w:val="0"/>
    </w:rPr>
  </w:style>
  <w:style w:type="character" w:styleId="890" w:customStyle="1">
    <w:name w:val="Header 3_character"/>
    <w:link w:val="891"/>
    <w:pPr>
      <w:pBdr/>
      <w:spacing/>
      <w:ind/>
    </w:pPr>
    <w:rPr>
      <w:rtl w:val="0"/>
    </w:rPr>
  </w:style>
  <w:style w:type="paragraph" w:styleId="891" w:customStyle="1">
    <w:name w:val="Header 3"/>
    <w:basedOn w:val="880"/>
    <w:link w:val="890"/>
    <w:qFormat/>
    <w:pPr>
      <w:pBdr/>
      <w:spacing/>
      <w:ind/>
    </w:pPr>
    <w:rPr>
      <w:rtl w:val="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Application>onlyoffice/7.5.1.23</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 Milsom</cp:lastModifiedBy>
  <cp:revision>16</cp:revision>
  <dcterms:modified xsi:type="dcterms:W3CDTF">2024-05-23T14:13:24Z</dcterms:modified>
</cp:coreProperties>
</file>